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FC" w:rsidRDefault="00FB3B2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Politechnika Warszawska Filia w Płocku</w:t>
      </w:r>
    </w:p>
    <w:p w:rsidR="009D5EFC" w:rsidRDefault="00FB3B2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Kolegium Nauk Ekonomicznych i Społecznych</w:t>
      </w:r>
    </w:p>
    <w:p w:rsidR="009D5EFC" w:rsidRDefault="00FB3B2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Karta przedmiotu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9D5EFC" w:rsidRDefault="009D5EFC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D5EFC" w:rsidRDefault="009D5EF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6"/>
        <w:gridCol w:w="520"/>
        <w:gridCol w:w="490"/>
        <w:gridCol w:w="1173"/>
        <w:gridCol w:w="1231"/>
        <w:gridCol w:w="213"/>
        <w:gridCol w:w="994"/>
        <w:gridCol w:w="795"/>
        <w:gridCol w:w="628"/>
        <w:gridCol w:w="204"/>
        <w:gridCol w:w="1055"/>
        <w:gridCol w:w="979"/>
      </w:tblGrid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Kod przedmiotu </w:t>
            </w:r>
          </w:p>
        </w:tc>
        <w:tc>
          <w:tcPr>
            <w:tcW w:w="90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EMPS1, ZEMPS1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Nazwa przedmiotu </w:t>
            </w:r>
          </w:p>
        </w:tc>
        <w:tc>
          <w:tcPr>
            <w:tcW w:w="6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EKONOMIA MENEDŻERSKA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ECTS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Profil kształcenia</w:t>
            </w:r>
          </w:p>
        </w:tc>
        <w:tc>
          <w:tcPr>
            <w:tcW w:w="6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PRAKTYCZNY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Rok akademicki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2017/18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Poziom kształcenia</w:t>
            </w:r>
          </w:p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(studiów)</w:t>
            </w:r>
          </w:p>
        </w:tc>
        <w:tc>
          <w:tcPr>
            <w:tcW w:w="6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STUDIA PIERWSZEGO STOPNIA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Semestr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V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Wydział</w:t>
            </w:r>
          </w:p>
        </w:tc>
        <w:tc>
          <w:tcPr>
            <w:tcW w:w="90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KOLEGIUM NAUK EKONOMICZNYCH I SPOŁECZNYCH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Kierunek</w:t>
            </w:r>
          </w:p>
        </w:tc>
        <w:tc>
          <w:tcPr>
            <w:tcW w:w="3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EKONOMIA</w:t>
            </w: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Specjalność</w:t>
            </w:r>
          </w:p>
        </w:tc>
        <w:tc>
          <w:tcPr>
            <w:tcW w:w="3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Ekonomia menedżerska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Osoba(y) prowadząca(e) przedmiot </w:t>
            </w:r>
          </w:p>
        </w:tc>
        <w:tc>
          <w:tcPr>
            <w:tcW w:w="6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DR HAB. WŁODZIMIERZ PULIŃSKI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Tryb studiów</w:t>
            </w:r>
          </w:p>
        </w:tc>
        <w:tc>
          <w:tcPr>
            <w:tcW w:w="82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Stacjonarne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ćwiczenia</w:t>
            </w: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seminarium</w:t>
            </w:r>
          </w:p>
        </w:tc>
        <w:tc>
          <w:tcPr>
            <w:tcW w:w="3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Rygor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</w:t>
            </w: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EGZAMIN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Tryb studiów</w:t>
            </w:r>
          </w:p>
        </w:tc>
        <w:tc>
          <w:tcPr>
            <w:tcW w:w="82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Niestacjonarne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ćwiczenia</w:t>
            </w: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seminarium</w:t>
            </w:r>
          </w:p>
        </w:tc>
        <w:tc>
          <w:tcPr>
            <w:tcW w:w="3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Rygor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</w:t>
            </w:r>
          </w:p>
        </w:tc>
        <w:tc>
          <w:tcPr>
            <w:tcW w:w="2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EGZAMIN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Język prowadzenia zajęć</w:t>
            </w:r>
          </w:p>
        </w:tc>
        <w:tc>
          <w:tcPr>
            <w:tcW w:w="82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POLSKI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Cel przedmiotu  </w:t>
            </w:r>
          </w:p>
        </w:tc>
        <w:tc>
          <w:tcPr>
            <w:tcW w:w="825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>Celem wykładu z przedmiotu "ekonomia menedżerska" jest przekazanie wiedzy i umiejętności przydatnych w dokonywa</w:t>
            </w:r>
            <w:r w:rsidR="00973929">
              <w:rPr>
                <w:rFonts w:ascii="Times New Roman" w:eastAsia="Times New Roman" w:hAnsi="Times New Roman" w:cs="Times New Roman"/>
                <w:i/>
                <w:sz w:val="18"/>
              </w:rPr>
              <w:t>niu racjonalnych wyborów dotyczą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cych najistotniejszych sfer funkcjonowania przedsiębiorstwa w warunkach określonych przez dział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anie mechanizmów rynkowych.</w:t>
            </w:r>
          </w:p>
          <w:p w:rsidR="009D5EFC" w:rsidRDefault="009D5EFC">
            <w:pPr>
              <w:spacing w:after="0" w:line="288" w:lineRule="auto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:rsidR="009D5EFC" w:rsidRDefault="009D5EFC">
            <w:pPr>
              <w:spacing w:after="0" w:line="288" w:lineRule="auto"/>
              <w:rPr>
                <w:rFonts w:ascii="Times New Roman" w:eastAsia="Times New Roman" w:hAnsi="Times New Roman" w:cs="Times New Roman"/>
                <w:i/>
                <w:sz w:val="18"/>
              </w:rPr>
            </w:pPr>
          </w:p>
          <w:p w:rsidR="009D5EFC" w:rsidRDefault="009D5EFC">
            <w:pPr>
              <w:spacing w:after="0" w:line="288" w:lineRule="auto"/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Wymagania wstępne.</w:t>
            </w:r>
          </w:p>
          <w:p w:rsidR="009D5EFC" w:rsidRDefault="009D5EFC">
            <w:pPr>
              <w:spacing w:after="0" w:line="288" w:lineRule="auto"/>
            </w:pPr>
          </w:p>
        </w:tc>
        <w:tc>
          <w:tcPr>
            <w:tcW w:w="6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Zaliczenie przedmiotów mikro i makroekonomia.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Opis efektów kształcenia dla przedmiotu 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LP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Student, który zaliczył przedmiot osiągnął efekty: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SYMBOL </w:t>
            </w:r>
          </w:p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EKK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SYMBOL </w:t>
            </w:r>
          </w:p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Sposób sprawdzenia efektu kszta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łcenia 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WIEDZA</w:t>
            </w:r>
          </w:p>
          <w:p w:rsidR="009D5EFC" w:rsidRDefault="009D5EFC">
            <w:pPr>
              <w:spacing w:after="0" w:line="288" w:lineRule="auto"/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Posiada wiedzę odnośnie do kryteriów podejmowania optymalnych decyzji.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K_W05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S1P_W05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9D5EFC" w:rsidRDefault="00FB3B2D">
            <w:pPr>
              <w:spacing w:after="0" w:line="288" w:lineRule="auto"/>
            </w:pPr>
            <w:r>
              <w:rPr>
                <w:rFonts w:ascii="Calibri" w:eastAsia="Calibri" w:hAnsi="Calibri" w:cs="Calibri"/>
              </w:rPr>
              <w:t>Egzamin pisemny. Wymagane jest udzielenie prawidłowych odpowiedzi na pytania otwarte.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Zna podstawowe instrumenty analizy rynku pomocne w procesie ustalania cen.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K_W07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S1P_W06</w:t>
            </w:r>
          </w:p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S1P_W07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Posiada wiedzę o zasadach podejmowania optymalnych decyzji w oparciu o analizę kosztów produkcji.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K_W11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Zna instrumenty oceny efektywno</w:t>
            </w:r>
            <w:r>
              <w:rPr>
                <w:rFonts w:ascii="Calibri" w:eastAsia="Calibri" w:hAnsi="Calibri" w:cs="Calibri"/>
              </w:rPr>
              <w:t>ści inwestycji.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K_W12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S1P_W05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UMIEJĘTNOŚCI</w:t>
            </w:r>
          </w:p>
          <w:p w:rsidR="009D5EFC" w:rsidRDefault="009D5EFC">
            <w:pPr>
              <w:spacing w:after="0" w:line="288" w:lineRule="auto"/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Potrafi ocenić ekonomiczne skutki podejmowanych decyzji.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K_U07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S1P_U03</w:t>
            </w:r>
          </w:p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S1P_U07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Egzamin pisemny. Wymagane jest udzielenie prawid</w:t>
            </w:r>
            <w:r>
              <w:rPr>
                <w:rFonts w:ascii="Calibri" w:eastAsia="Calibri" w:hAnsi="Calibri" w:cs="Calibri"/>
              </w:rPr>
              <w:t>łowych odpowiedzi na pytania otwarte oraz przeprowadzenie analizy pozwalającej na dokonanie właściwej oceny ekonomicznej efektywności podejmowanych decyzji.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Potrafi zastosować </w:t>
            </w:r>
            <w:proofErr w:type="spellStart"/>
            <w:r>
              <w:rPr>
                <w:rFonts w:ascii="Calibri" w:eastAsia="Calibri" w:hAnsi="Calibri" w:cs="Calibri"/>
              </w:rPr>
              <w:t>własciwe</w:t>
            </w:r>
            <w:proofErr w:type="spellEnd"/>
            <w:r>
              <w:rPr>
                <w:rFonts w:ascii="Calibri" w:eastAsia="Calibri" w:hAnsi="Calibri" w:cs="Calibri"/>
              </w:rPr>
              <w:t xml:space="preserve"> dla realizacji założonego celu instrumenty analizy ekonomicznej.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K_U12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S1P_U08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Potrafi ocenić ekonomiczną efektywność decyzji inwestycyjnych.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K_U12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S1P_U08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KOMPETENCJE SPOŁECZNE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Rozumie potrzebę pogłębiania wiedzy i zdobywania doświadczeń zawodowych.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K_K01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S1P_K02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9D5EF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Tre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ści programowe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Studia stacjonarne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Wykłady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(tematy)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1. Przedmiot badań ekonomii menedżerskiej.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2. Kryteria oceny efektywności procesów decyzyjnych.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3. Analiza rynku jako instrument pomocny w ustalaniu cen przez przedsiębiorcę.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4. Koszty produkcji. Podejmowanie optymalnych decyzji na podstawie analizy wielkości krańcowych.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5. Podejmowanie decyzji w warunkach niepewności.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6. Instrumenty oceny efektywności inwestycji.</w:t>
            </w: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Ćwiczenia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(tematy)</w:t>
            </w:r>
          </w:p>
          <w:p w:rsidR="009D5EFC" w:rsidRDefault="009D5EFC">
            <w:pPr>
              <w:spacing w:after="0" w:line="288" w:lineRule="auto"/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Ćwiczenia poświęcone są nabywaniu umiejętności w zakresie przedstawionych poniżej tematów: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1. Kryteria oceny efektywności procesów decyzyjnych.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2. Analiza rynku jako instrument pomocny w ustalaniu cen przez przedsiębiorcę.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3. Koszty produkcji. Podejmowanie optymalnych decyzji na podstawie analizy wielkości krańcowych.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4. Podejmowanie decyzji w warunkach niepewności.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5. Instrumenty oceny efektywności inwestycji.</w:t>
            </w: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Studia niestacjonarne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Wykłady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(tematy)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1. Przedmiot badań ekonomii menedżerskiej.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2. Kryteria oceny efektywności procesów decyzyjnych.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3. Analiza rynku jako instrument pomocny w ustalaniu cen przez przedsiębiorcę.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4. Koszty produkcji. Podejmowanie optymalnych decyzji na podstawie analizy wielko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ści krańcowych.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5. Podejmowanie decyzji w warunkach niepewności.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6. Instrumenty oceny efektywności inwestycji.</w:t>
            </w: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</w:pP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Ćwiczenia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(tematy)</w:t>
            </w:r>
          </w:p>
        </w:tc>
      </w:tr>
      <w:tr w:rsidR="009D5EF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Ćwiczenia poświęcone są nabywaniu umiejętności w zakresie przedstawionych poniżej tematów: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1. Kryteria oceny efektywności procesów decyzyjnych.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2. Analiza rynku jako instrument pomocny w ustalaniu cen przez przedsiębiorcę.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3. Koszty produkcji. Podejmowanie optymalnych decyzji na podstawie analizy wielkości krańcowych.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4. Podejmowanie decyzji w w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arunkach niepewności.</w:t>
            </w:r>
          </w:p>
          <w:p w:rsidR="009D5EFC" w:rsidRDefault="00FB3B2D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5. Instrumenty oceny efektywności inwestycji.</w:t>
            </w: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  <w:ind w:left="123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9D5EFC" w:rsidRDefault="009D5EFC">
            <w:pPr>
              <w:spacing w:after="0" w:line="288" w:lineRule="auto"/>
            </w:pPr>
          </w:p>
        </w:tc>
      </w:tr>
    </w:tbl>
    <w:p w:rsidR="009D5EFC" w:rsidRDefault="009D5EFC">
      <w:pPr>
        <w:spacing w:after="0" w:line="288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961"/>
        <w:gridCol w:w="1832"/>
      </w:tblGrid>
      <w:tr w:rsidR="009D5EFC" w:rsidTr="00F27B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Forma i warunki zaliczenia</w:t>
            </w:r>
          </w:p>
        </w:tc>
      </w:tr>
      <w:tr w:rsidR="009D5EFC" w:rsidTr="00F27B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</w:rPr>
            </w:pPr>
          </w:p>
          <w:p w:rsidR="009D5EFC" w:rsidRDefault="00FB3B2D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</w:rPr>
            </w:pPr>
            <w:r>
              <w:rPr>
                <w:rFonts w:ascii="Calibri" w:eastAsia="Calibri" w:hAnsi="Calibri" w:cs="Calibri"/>
              </w:rPr>
              <w:t>Egzamin pisemny. Wymagane jest udzielenie prawid</w:t>
            </w:r>
            <w:r>
              <w:rPr>
                <w:rFonts w:ascii="Calibri" w:eastAsia="Calibri" w:hAnsi="Calibri" w:cs="Calibri"/>
              </w:rPr>
              <w:t xml:space="preserve">łowych odpowiedzi na pytania otwarte oraz przeprowadzenie analizy pozwalającej na dokonanie właściwej oceny ekonomicznej efektywności </w:t>
            </w:r>
          </w:p>
          <w:p w:rsidR="009D5EFC" w:rsidRDefault="009D5EFC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</w:rPr>
            </w:pPr>
          </w:p>
          <w:p w:rsidR="009D5EFC" w:rsidRDefault="009D5EFC">
            <w:pPr>
              <w:spacing w:after="0" w:line="288" w:lineRule="auto"/>
              <w:jc w:val="both"/>
            </w:pP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 xml:space="preserve">Zalecana literatura 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Literatura podstawowa: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FB3B2D">
            <w:pPr>
              <w:spacing w:after="0" w:line="288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1. </w:t>
            </w:r>
            <w:proofErr w:type="spellStart"/>
            <w:r>
              <w:rPr>
                <w:rFonts w:ascii="Calibri" w:eastAsia="Calibri" w:hAnsi="Calibri" w:cs="Calibri"/>
              </w:rPr>
              <w:t>Samuelson</w:t>
            </w:r>
            <w:proofErr w:type="spellEnd"/>
            <w:r>
              <w:rPr>
                <w:rFonts w:ascii="Calibri" w:eastAsia="Calibri" w:hAnsi="Calibri" w:cs="Calibri"/>
              </w:rPr>
              <w:t xml:space="preserve"> W., Marks S., Ekonomia menedżerska, PWE, Warszawa 2009.</w:t>
            </w:r>
          </w:p>
          <w:p w:rsidR="009D5EFC" w:rsidRDefault="00FB3B2D">
            <w:pPr>
              <w:spacing w:after="0" w:line="288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2.  </w:t>
            </w:r>
            <w:proofErr w:type="spellStart"/>
            <w:r>
              <w:rPr>
                <w:rFonts w:ascii="Calibri" w:eastAsia="Calibri" w:hAnsi="Calibri" w:cs="Calibri"/>
              </w:rPr>
              <w:t>Froeb</w:t>
            </w:r>
            <w:proofErr w:type="spellEnd"/>
            <w:r>
              <w:rPr>
                <w:rFonts w:ascii="Calibri" w:eastAsia="Calibri" w:hAnsi="Calibri" w:cs="Calibri"/>
              </w:rPr>
              <w:t xml:space="preserve"> L.M,  </w:t>
            </w:r>
            <w:proofErr w:type="spellStart"/>
            <w:r>
              <w:rPr>
                <w:rFonts w:ascii="Calibri" w:eastAsia="Calibri" w:hAnsi="Calibri" w:cs="Calibri"/>
              </w:rPr>
              <w:t>McCann</w:t>
            </w:r>
            <w:proofErr w:type="spellEnd"/>
            <w:r>
              <w:rPr>
                <w:rFonts w:ascii="Calibri" w:eastAsia="Calibri" w:hAnsi="Calibri" w:cs="Calibri"/>
              </w:rPr>
              <w:t xml:space="preserve"> B.T, Ekonomia menedżerska, PWE, Warszawa 2012.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Literatura uzupełniająca: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EFC" w:rsidRDefault="00FB3B2D">
            <w:pPr>
              <w:spacing w:after="0" w:line="288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Frank R., Mikroekonomia. Jakiej jeszcze nie było, GWP, Gdańsk 2007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Nakład pracy studenta (bilans punktów ECTS)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Forma nakładu pracy studenta </w:t>
            </w:r>
          </w:p>
          <w:p w:rsidR="009D5EFC" w:rsidRDefault="009D5EFC">
            <w:pPr>
              <w:tabs>
                <w:tab w:val="left" w:pos="9214"/>
              </w:tabs>
              <w:spacing w:after="0" w:line="288" w:lineRule="auto"/>
            </w:pPr>
          </w:p>
        </w:tc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Obci</w:t>
            </w:r>
            <w:r>
              <w:rPr>
                <w:rFonts w:ascii="Times New Roman" w:eastAsia="Times New Roman" w:hAnsi="Times New Roman" w:cs="Times New Roman"/>
                <w:sz w:val="18"/>
              </w:rPr>
              <w:t>ążenie studenta [h]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rPr>
                <w:rFonts w:ascii="Calibri" w:eastAsia="Calibri" w:hAnsi="Calibri" w:cs="Calibri"/>
              </w:rPr>
            </w:pPr>
            <w:bookmarkStart w:id="0" w:name="_GoBack" w:colFirst="1" w:colLast="2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tabs>
                <w:tab w:val="left" w:pos="9214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studia</w:t>
            </w:r>
          </w:p>
          <w:p w:rsidR="009D5EFC" w:rsidRDefault="00FB3B2D" w:rsidP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stacjonarne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tabs>
                <w:tab w:val="left" w:pos="9214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studia</w:t>
            </w:r>
          </w:p>
          <w:p w:rsidR="009D5EFC" w:rsidRDefault="00FB3B2D" w:rsidP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niestacjonarne</w:t>
            </w:r>
          </w:p>
        </w:tc>
      </w:tr>
      <w:bookmarkEnd w:id="0"/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Liczba godzin wg planu studiów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Udział w wykładach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Udział w ćwiczeniach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Praca własna:</w:t>
            </w:r>
          </w:p>
          <w:p w:rsidR="009D5EFC" w:rsidRDefault="009D5EFC">
            <w:pPr>
              <w:tabs>
                <w:tab w:val="left" w:pos="9214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9D5EFC" w:rsidRDefault="009D5EFC">
            <w:pPr>
              <w:tabs>
                <w:tab w:val="left" w:pos="9214"/>
              </w:tabs>
              <w:spacing w:after="0" w:line="288" w:lineRule="auto"/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51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Sumaryczne obciążenie pracą studenta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75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Punkty ECTS za przedmiot </w:t>
            </w:r>
          </w:p>
        </w:tc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tabs>
                <w:tab w:val="left" w:pos="9214"/>
              </w:tabs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Uwagi: </w:t>
            </w:r>
          </w:p>
        </w:tc>
      </w:tr>
    </w:tbl>
    <w:p w:rsidR="009D5EFC" w:rsidRDefault="009D5EFC">
      <w:pPr>
        <w:spacing w:after="0" w:line="288" w:lineRule="auto"/>
        <w:jc w:val="right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984"/>
        <w:gridCol w:w="1809"/>
      </w:tblGrid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Liczba punktów ECTS uzyskanych w bezpośrednim kontakcie z nauczycielem akademickim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studia</w:t>
            </w:r>
          </w:p>
          <w:p w:rsidR="009D5EFC" w:rsidRDefault="00FB3B2D" w:rsidP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stacjonarne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studia</w:t>
            </w:r>
          </w:p>
          <w:p w:rsidR="009D5EFC" w:rsidRDefault="00FB3B2D" w:rsidP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niestacjonarne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Liczba punktów ECTS według planu studiów ( wykłady + ćwiczenia)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0,96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Inne formy kontaktu bezpo</w:t>
            </w:r>
            <w:r>
              <w:rPr>
                <w:rFonts w:ascii="Times New Roman" w:eastAsia="Times New Roman" w:hAnsi="Times New Roman" w:cs="Times New Roman"/>
                <w:sz w:val="18"/>
              </w:rPr>
              <w:t>średniego ( egzaminy, konsultacje oraz zaliczenia i egzaminy w dodatkowych terminach)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Łącznie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1,36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Uwagi: </w:t>
            </w:r>
          </w:p>
        </w:tc>
      </w:tr>
    </w:tbl>
    <w:p w:rsidR="009D5EFC" w:rsidRDefault="009D5EFC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984"/>
        <w:gridCol w:w="1809"/>
      </w:tblGrid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Nakład pracy studenta w ramach zajęć o charakterze praktycznym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studia</w:t>
            </w:r>
          </w:p>
          <w:p w:rsidR="009D5EFC" w:rsidRDefault="00FB3B2D" w:rsidP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stacjonarne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studia</w:t>
            </w:r>
          </w:p>
          <w:p w:rsidR="009D5EFC" w:rsidRDefault="00FB3B2D" w:rsidP="00FB3B2D">
            <w:pPr>
              <w:spacing w:after="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niestacjonarne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Liczba godzin wed</w:t>
            </w:r>
            <w:r>
              <w:rPr>
                <w:rFonts w:ascii="Times New Roman" w:eastAsia="Times New Roman" w:hAnsi="Times New Roman" w:cs="Times New Roman"/>
                <w:sz w:val="18"/>
              </w:rPr>
              <w:t>ług planu studiów: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Udział w ćwiczeniach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Praca własna:</w:t>
            </w:r>
          </w:p>
          <w:p w:rsidR="009D5EFC" w:rsidRDefault="009D5EFC">
            <w:pPr>
              <w:spacing w:after="0" w:line="288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Suma godzin obciążeń studenta pracą o charakterze praktycznym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Punkty ECTS za pracę praktyczną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 w:rsidP="00FB3B2D">
            <w:pPr>
              <w:spacing w:after="0" w:line="288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1,52</w:t>
            </w:r>
          </w:p>
        </w:tc>
      </w:tr>
      <w:tr w:rsidR="009D5EFC" w:rsidTr="0097392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FB3B2D">
            <w:pPr>
              <w:spacing w:after="0" w:line="28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Uwagi: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9D5EFC" w:rsidRDefault="009D5EFC">
            <w:pPr>
              <w:spacing w:after="0" w:line="288" w:lineRule="auto"/>
              <w:rPr>
                <w:rFonts w:ascii="Calibri" w:eastAsia="Calibri" w:hAnsi="Calibri" w:cs="Calibri"/>
              </w:rPr>
            </w:pPr>
          </w:p>
        </w:tc>
      </w:tr>
    </w:tbl>
    <w:p w:rsidR="009D5EFC" w:rsidRDefault="009D5EFC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</w:p>
    <w:p w:rsidR="009D5EFC" w:rsidRDefault="009D5EFC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</w:p>
    <w:p w:rsidR="009D5EFC" w:rsidRDefault="009D5EFC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</w:p>
    <w:p w:rsidR="009D5EFC" w:rsidRDefault="009D5EFC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</w:p>
    <w:p w:rsidR="009D5EFC" w:rsidRDefault="00FB3B2D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…………………………………..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………………………………….</w:t>
      </w:r>
    </w:p>
    <w:p w:rsidR="009D5EFC" w:rsidRDefault="00FB3B2D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podpis Dyrektora </w:t>
      </w:r>
      <w:proofErr w:type="spellStart"/>
      <w:r>
        <w:rPr>
          <w:rFonts w:ascii="Times New Roman" w:eastAsia="Times New Roman" w:hAnsi="Times New Roman" w:cs="Times New Roman"/>
          <w:sz w:val="20"/>
        </w:rPr>
        <w:t>KNEiS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podpis prowadzącego zajęcia</w:t>
      </w:r>
    </w:p>
    <w:sectPr w:rsidR="009D5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FC"/>
    <w:rsid w:val="00973929"/>
    <w:rsid w:val="009D5EFC"/>
    <w:rsid w:val="00F27B54"/>
    <w:rsid w:val="00FB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Dudzińska</dc:creator>
  <cp:lastModifiedBy>Agnieszka Dudzińska</cp:lastModifiedBy>
  <cp:revision>4</cp:revision>
  <dcterms:created xsi:type="dcterms:W3CDTF">2016-04-14T07:56:00Z</dcterms:created>
  <dcterms:modified xsi:type="dcterms:W3CDTF">2016-04-14T07:58:00Z</dcterms:modified>
</cp:coreProperties>
</file>